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9DC58" w14:textId="77777777" w:rsidR="00B21A8F" w:rsidRPr="00B21A8F" w:rsidRDefault="00B21A8F" w:rsidP="00B21A8F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B21A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  <w:t>CSU Maritime Academy</w:t>
      </w:r>
    </w:p>
    <w:p w14:paraId="5106D849" w14:textId="3796A320" w:rsidR="00B21A8F" w:rsidRPr="00B21A8F" w:rsidRDefault="00C41FA0" w:rsidP="00B21A8F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School of Letters &amp; Sciences</w:t>
      </w:r>
    </w:p>
    <w:p w14:paraId="0EA44AD4" w14:textId="4B1C9898" w:rsidR="00B21A8F" w:rsidRPr="00B21A8F" w:rsidRDefault="00B21A8F" w:rsidP="00B21A8F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C41F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MPM 195</w:t>
      </w:r>
      <w:r w:rsidRPr="00B21A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, </w:t>
      </w:r>
      <w:r w:rsidRPr="00C41F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International Experience--Europe</w:t>
      </w:r>
    </w:p>
    <w:p w14:paraId="4FD7667B" w14:textId="3F555D54" w:rsidR="00B21A8F" w:rsidRPr="00B21A8F" w:rsidRDefault="00B21A8F" w:rsidP="00B21A8F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</w:rPr>
      </w:pPr>
      <w:r w:rsidRPr="00B21A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Summer, 202</w:t>
      </w:r>
      <w:r w:rsidRPr="00C41F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</w:t>
      </w:r>
    </w:p>
    <w:p w14:paraId="158350C2" w14:textId="77777777" w:rsidR="00B21A8F" w:rsidRPr="00B21A8F" w:rsidRDefault="00B21A8F" w:rsidP="00B21A8F">
      <w:pPr>
        <w:spacing w:before="100" w:beforeAutospacing="1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6390" w:type="dxa"/>
        <w:jc w:val="center"/>
        <w:tblCellSpacing w:w="0" w:type="dxa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2844"/>
        <w:gridCol w:w="3546"/>
      </w:tblGrid>
      <w:tr w:rsidR="00C41FA0" w:rsidRPr="00B21A8F" w14:paraId="77D47C9A" w14:textId="77777777" w:rsidTr="00C41FA0">
        <w:trPr>
          <w:trHeight w:val="477"/>
          <w:tblCellSpacing w:w="0" w:type="dxa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DCE4F" w14:textId="77777777" w:rsidR="00B21A8F" w:rsidRPr="00B21A8F" w:rsidRDefault="00B21A8F" w:rsidP="00C41FA0">
            <w:pPr>
              <w:spacing w:before="115" w:after="115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Instructor: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09081" w14:textId="16362956" w:rsidR="00C41FA0" w:rsidRPr="00B21A8F" w:rsidRDefault="00B21A8F" w:rsidP="00C41FA0">
            <w:pPr>
              <w:spacing w:before="100" w:beforeAutospacing="1" w:after="115"/>
              <w:ind w:left="3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1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Julie Chisholm</w:t>
            </w:r>
            <w:r w:rsidR="00C41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(Trip Lead)</w:t>
            </w:r>
          </w:p>
        </w:tc>
      </w:tr>
      <w:tr w:rsidR="00C41FA0" w:rsidRPr="00B21A8F" w14:paraId="6106523C" w14:textId="77777777" w:rsidTr="00C41FA0">
        <w:trPr>
          <w:trHeight w:val="360"/>
          <w:tblCellSpacing w:w="0" w:type="dxa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F711A" w14:textId="77777777" w:rsidR="00B21A8F" w:rsidRPr="00B21A8F" w:rsidRDefault="00B21A8F" w:rsidP="00C41FA0">
            <w:pPr>
              <w:spacing w:before="115" w:after="115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Telephone: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2C0AC" w14:textId="18EAF35A" w:rsidR="00B21A8F" w:rsidRPr="00B21A8F" w:rsidRDefault="00B21A8F" w:rsidP="00C41FA0">
            <w:pPr>
              <w:spacing w:before="100" w:beforeAutospacing="1" w:after="115"/>
              <w:ind w:left="3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1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WhatsApp +1-408-458-6288</w:t>
            </w:r>
          </w:p>
        </w:tc>
      </w:tr>
      <w:tr w:rsidR="00C41FA0" w:rsidRPr="00B21A8F" w14:paraId="12EC0F1B" w14:textId="77777777" w:rsidTr="00C41FA0">
        <w:trPr>
          <w:trHeight w:val="360"/>
          <w:tblCellSpacing w:w="0" w:type="dxa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DBA23" w14:textId="77777777" w:rsidR="00B21A8F" w:rsidRPr="00B21A8F" w:rsidRDefault="00B21A8F" w:rsidP="00C41FA0">
            <w:pPr>
              <w:spacing w:before="115" w:after="115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AB199" w14:textId="793A635D" w:rsidR="00B21A8F" w:rsidRPr="00B21A8F" w:rsidRDefault="00B21A8F" w:rsidP="00C41FA0">
            <w:pPr>
              <w:spacing w:before="100" w:beforeAutospacing="1" w:after="115"/>
              <w:ind w:left="3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1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jchisholm@csum.edu</w:t>
            </w:r>
          </w:p>
        </w:tc>
      </w:tr>
      <w:tr w:rsidR="00C41FA0" w:rsidRPr="00B21A8F" w14:paraId="5ED37BD3" w14:textId="77777777" w:rsidTr="00C41FA0">
        <w:trPr>
          <w:trHeight w:val="360"/>
          <w:tblCellSpacing w:w="0" w:type="dxa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CB3AC" w14:textId="77777777" w:rsidR="00B21A8F" w:rsidRPr="00B21A8F" w:rsidRDefault="00B21A8F" w:rsidP="00C41FA0">
            <w:pPr>
              <w:spacing w:before="115" w:after="115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Class Days/Time: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59EA1" w14:textId="2923C135" w:rsidR="00B21A8F" w:rsidRPr="00B21A8F" w:rsidRDefault="00B21A8F" w:rsidP="00C41FA0">
            <w:pPr>
              <w:spacing w:before="100" w:beforeAutospacing="1" w:after="115"/>
              <w:ind w:left="3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1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24/7 while traveling</w:t>
            </w:r>
          </w:p>
        </w:tc>
      </w:tr>
      <w:tr w:rsidR="00C41FA0" w:rsidRPr="00B21A8F" w14:paraId="3FBF8B96" w14:textId="77777777" w:rsidTr="00C41FA0">
        <w:trPr>
          <w:trHeight w:val="360"/>
          <w:tblCellSpacing w:w="0" w:type="dxa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238DF" w14:textId="77777777" w:rsidR="00B21A8F" w:rsidRPr="00B21A8F" w:rsidRDefault="00B21A8F" w:rsidP="00C41FA0">
            <w:pPr>
              <w:spacing w:before="115" w:after="115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Classroom: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CC070" w14:textId="29D34862" w:rsidR="00B21A8F" w:rsidRPr="00B21A8F" w:rsidRDefault="00B21A8F" w:rsidP="00C41FA0">
            <w:pPr>
              <w:spacing w:before="100" w:beforeAutospacing="1" w:after="115"/>
              <w:ind w:left="3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1F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Central and Western Europe</w:t>
            </w:r>
          </w:p>
        </w:tc>
      </w:tr>
    </w:tbl>
    <w:p w14:paraId="4636640B" w14:textId="77777777" w:rsidR="00C41FA0" w:rsidRDefault="00C41FA0" w:rsidP="00B21A8F">
      <w:pPr>
        <w:spacing w:before="100" w:beforeAutospacing="1" w:after="5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1C316654" w14:textId="2E7E8162" w:rsidR="00B21A8F" w:rsidRPr="00B21A8F" w:rsidRDefault="00B21A8F" w:rsidP="00B21A8F">
      <w:pPr>
        <w:spacing w:before="100" w:beforeAutospacing="1" w:after="5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B21A8F">
        <w:rPr>
          <w:rFonts w:ascii="Times New Roman" w:eastAsia="Times New Roman" w:hAnsi="Times New Roman" w:cs="Times New Roman"/>
          <w:b/>
          <w:bCs/>
          <w:color w:val="000000"/>
          <w:kern w:val="36"/>
        </w:rPr>
        <w:t>Course Description</w:t>
      </w:r>
    </w:p>
    <w:p w14:paraId="2E2F6016" w14:textId="00A73558" w:rsidR="00B21A8F" w:rsidRPr="00B21A8F" w:rsidRDefault="00B21A8F" w:rsidP="00B21A8F">
      <w:pPr>
        <w:spacing w:before="100" w:before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1A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This international experience course will explore the </w:t>
      </w:r>
      <w:r w:rsidR="00C41FA0">
        <w:rPr>
          <w:rFonts w:ascii="Times New Roman" w:eastAsia="Times New Roman" w:hAnsi="Times New Roman" w:cs="Times New Roman"/>
          <w:color w:val="000000"/>
          <w:sz w:val="20"/>
          <w:szCs w:val="20"/>
        </w:rPr>
        <w:t>major inland waterways of Central and Western Europe.  We will look at the ways that the Danube and Rhine Rivers</w:t>
      </w:r>
      <w:r w:rsidR="00101A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have shaped culture and commerce in Hungary, Slovakia, Austria, </w:t>
      </w:r>
      <w:proofErr w:type="gramStart"/>
      <w:r w:rsidR="00101A3D">
        <w:rPr>
          <w:rFonts w:ascii="Times New Roman" w:eastAsia="Times New Roman" w:hAnsi="Times New Roman" w:cs="Times New Roman"/>
          <w:color w:val="000000"/>
          <w:sz w:val="20"/>
          <w:szCs w:val="20"/>
        </w:rPr>
        <w:t>Germany</w:t>
      </w:r>
      <w:proofErr w:type="gramEnd"/>
      <w:r w:rsidR="00101A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the Netherlands.  Students are encouraged to find the most interesting and meaningful aspects of these rivers as topics for contemplation and study.   </w:t>
      </w:r>
    </w:p>
    <w:p w14:paraId="50666D34" w14:textId="29B633BB" w:rsidR="00B21A8F" w:rsidRPr="00B21A8F" w:rsidRDefault="00B21A8F" w:rsidP="00B21A8F">
      <w:pPr>
        <w:spacing w:before="100" w:beforeAutospacing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21A8F">
        <w:rPr>
          <w:rFonts w:ascii="Times New Roman" w:eastAsia="Times New Roman" w:hAnsi="Times New Roman" w:cs="Times New Roman"/>
          <w:b/>
          <w:bCs/>
          <w:color w:val="000000"/>
        </w:rPr>
        <w:t>Student Learning Outcomes (SLO</w:t>
      </w:r>
      <w:r w:rsidR="00101A3D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Pr="00B21A8F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14:paraId="1515B2E6" w14:textId="28670E48" w:rsidR="00B21A8F" w:rsidRPr="00B21A8F" w:rsidRDefault="00B21A8F" w:rsidP="00B21A8F">
      <w:pPr>
        <w:spacing w:before="100" w:before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1A8F">
        <w:rPr>
          <w:rFonts w:ascii="Times New Roman" w:eastAsia="Times New Roman" w:hAnsi="Times New Roman" w:cs="Times New Roman"/>
          <w:color w:val="000000"/>
          <w:sz w:val="20"/>
          <w:szCs w:val="20"/>
        </w:rPr>
        <w:t>Upon successful completion of this course</w:t>
      </w:r>
      <w:r w:rsidRPr="00C41FA0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5F7ABDBF" w14:textId="15F96A9D" w:rsidR="00B21A8F" w:rsidRPr="00C41FA0" w:rsidRDefault="00B21A8F" w:rsidP="00C41FA0">
      <w:pPr>
        <w:pStyle w:val="ListParagraph"/>
        <w:numPr>
          <w:ilvl w:val="0"/>
          <w:numId w:val="2"/>
        </w:numPr>
        <w:spacing w:before="100" w:beforeAutospacing="1" w:after="245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1F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Students </w:t>
      </w:r>
      <w:r w:rsidR="00C41FA0" w:rsidRPr="00C41F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will </w:t>
      </w:r>
      <w:r w:rsidRPr="00C41FA0">
        <w:rPr>
          <w:rFonts w:ascii="Times New Roman" w:eastAsia="Times New Roman" w:hAnsi="Times New Roman" w:cs="Times New Roman"/>
          <w:color w:val="000000"/>
          <w:sz w:val="20"/>
          <w:szCs w:val="20"/>
        </w:rPr>
        <w:t>demonstrate the ability to think critically about their own values, beliefs, and goals </w:t>
      </w:r>
      <w:r w:rsidRPr="00C41F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r w:rsidRPr="00C41F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Increased Self-awareness</w:t>
      </w:r>
      <w:r w:rsidRPr="00C41F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14:paraId="02CE1EA2" w14:textId="70DC5623" w:rsidR="00B21A8F" w:rsidRPr="00C41FA0" w:rsidRDefault="00B21A8F" w:rsidP="00C41FA0">
      <w:pPr>
        <w:pStyle w:val="ListParagraph"/>
        <w:numPr>
          <w:ilvl w:val="0"/>
          <w:numId w:val="2"/>
        </w:numPr>
        <w:spacing w:before="100" w:beforeAutospacing="1" w:after="245" w:line="23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1F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Students </w:t>
      </w:r>
      <w:r w:rsidR="00C41FA0" w:rsidRPr="00C41F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will </w:t>
      </w:r>
      <w:r w:rsidRPr="00C41FA0">
        <w:rPr>
          <w:rFonts w:ascii="Times New Roman" w:eastAsia="Times New Roman" w:hAnsi="Times New Roman" w:cs="Times New Roman"/>
          <w:color w:val="000000"/>
          <w:sz w:val="20"/>
          <w:szCs w:val="20"/>
        </w:rPr>
        <w:t>recognize the influence of cultural norms, customs, and traditions on communication</w:t>
      </w:r>
      <w:r w:rsidR="00C41FA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C41F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use this knowledge to enhance their interactions across diverse groups</w:t>
      </w:r>
      <w:r w:rsidRPr="00C41F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41F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r w:rsidRPr="00C41F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Intercultural Interaction</w:t>
      </w:r>
      <w:r w:rsidRPr="00C41F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14:paraId="3879E2F3" w14:textId="2EA691B7" w:rsidR="00B21A8F" w:rsidRPr="00C41FA0" w:rsidRDefault="00B21A8F" w:rsidP="00C41FA0">
      <w:pPr>
        <w:pStyle w:val="ListParagraph"/>
        <w:numPr>
          <w:ilvl w:val="0"/>
          <w:numId w:val="2"/>
        </w:numPr>
        <w:spacing w:before="100" w:beforeAutospacing="1" w:after="245" w:line="276" w:lineRule="atLeast"/>
        <w:rPr>
          <w:rFonts w:ascii="Times New Roman" w:eastAsia="Times New Roman" w:hAnsi="Times New Roman" w:cs="Times New Roman"/>
          <w:color w:val="000000"/>
        </w:rPr>
      </w:pPr>
      <w:r w:rsidRPr="00C41F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Students </w:t>
      </w:r>
      <w:r w:rsidR="00C41FA0" w:rsidRPr="00C41F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will </w:t>
      </w:r>
      <w:r w:rsidRPr="00C41FA0">
        <w:rPr>
          <w:rFonts w:ascii="Times New Roman" w:eastAsia="Times New Roman" w:hAnsi="Times New Roman" w:cs="Times New Roman"/>
          <w:color w:val="000000"/>
          <w:sz w:val="20"/>
          <w:szCs w:val="20"/>
        </w:rPr>
        <w:t>apply discipline-specific knowledge in the context</w:t>
      </w:r>
      <w:r w:rsidRPr="00C41FA0">
        <w:rPr>
          <w:rFonts w:ascii="Times New Roman" w:eastAsia="Times New Roman" w:hAnsi="Times New Roman" w:cs="Times New Roman"/>
          <w:color w:val="111111"/>
          <w:sz w:val="20"/>
          <w:szCs w:val="20"/>
        </w:rPr>
        <w:t> of diverse political, environmental, social, and economic systems</w:t>
      </w:r>
      <w:r w:rsidRPr="00C41FA0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Pr="00C41FA0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>(</w:t>
      </w:r>
      <w:r w:rsidRPr="00C41FA0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>Global Perspective</w:t>
      </w:r>
      <w:r w:rsidRPr="00C41FA0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>)</w:t>
      </w:r>
    </w:p>
    <w:p w14:paraId="370463AA" w14:textId="7A44A3E3" w:rsidR="00B21A8F" w:rsidRPr="00C41FA0" w:rsidRDefault="00B21A8F" w:rsidP="00C41FA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245" w:line="230" w:lineRule="atLeast"/>
        <w:ind w:right="30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1FA0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Students </w:t>
      </w:r>
      <w:r w:rsidR="00C41FA0" w:rsidRPr="00C41FA0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will </w:t>
      </w:r>
      <w:r w:rsidRPr="00C41FA0">
        <w:rPr>
          <w:rFonts w:ascii="Times New Roman" w:eastAsia="Times New Roman" w:hAnsi="Times New Roman" w:cs="Times New Roman"/>
          <w:color w:val="111111"/>
          <w:sz w:val="20"/>
          <w:szCs w:val="20"/>
        </w:rPr>
        <w:t>reflect upon their experience and share knowledge and skills gained to motivate others to address challenges facing humanity locally and globally</w:t>
      </w:r>
      <w:r w:rsidRPr="00C41FA0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</w:t>
      </w:r>
      <w:r w:rsidRPr="00C41FA0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</w:rPr>
        <w:t>(</w:t>
      </w:r>
      <w:r w:rsidRPr="00C41F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Global Citizenship</w:t>
      </w:r>
      <w:r w:rsidRPr="00C41F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14:paraId="3E704401" w14:textId="79BAE08D" w:rsidR="00B21A8F" w:rsidRPr="00B21A8F" w:rsidRDefault="00B21A8F" w:rsidP="00B21A8F">
      <w:pPr>
        <w:spacing w:before="100" w:before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1A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Copies of the course materials such as the syllabus, major assignment handouts, etc. </w:t>
      </w:r>
      <w:r w:rsidR="00263BE4">
        <w:rPr>
          <w:rFonts w:ascii="Times New Roman" w:eastAsia="Times New Roman" w:hAnsi="Times New Roman" w:cs="Times New Roman"/>
          <w:color w:val="000000"/>
          <w:sz w:val="20"/>
          <w:szCs w:val="20"/>
        </w:rPr>
        <w:t>can</w:t>
      </w:r>
      <w:r w:rsidRPr="00B21A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 found on </w:t>
      </w:r>
      <w:hyperlink r:id="rId5" w:history="1">
        <w:r w:rsidRPr="00C41FA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www.drjuliekaui.com</w:t>
        </w:r>
      </w:hyperlink>
      <w:r w:rsidRPr="00C41F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</w:t>
      </w:r>
    </w:p>
    <w:p w14:paraId="73EDACA2" w14:textId="77B42760" w:rsidR="00B21A8F" w:rsidRDefault="00B21A8F" w:rsidP="00B21A8F">
      <w:pPr>
        <w:spacing w:before="100" w:beforeAutospacing="1" w:after="5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 w:rsidRPr="00B21A8F">
        <w:rPr>
          <w:rFonts w:ascii="Times New Roman" w:eastAsia="Times New Roman" w:hAnsi="Times New Roman" w:cs="Times New Roman"/>
          <w:b/>
          <w:bCs/>
          <w:color w:val="000000"/>
          <w:kern w:val="36"/>
        </w:rPr>
        <w:t>Re</w:t>
      </w:r>
      <w:r w:rsidRPr="00C41FA0">
        <w:rPr>
          <w:rFonts w:ascii="Times New Roman" w:eastAsia="Times New Roman" w:hAnsi="Times New Roman" w:cs="Times New Roman"/>
          <w:b/>
          <w:bCs/>
          <w:color w:val="000000"/>
          <w:kern w:val="36"/>
        </w:rPr>
        <w:t>commended</w:t>
      </w:r>
      <w:r w:rsidRPr="00B21A8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Texts/Readings </w:t>
      </w:r>
    </w:p>
    <w:p w14:paraId="55577B32" w14:textId="4C09734F" w:rsidR="00101A3D" w:rsidRPr="00101A3D" w:rsidRDefault="00101A3D" w:rsidP="00B21A8F">
      <w:pPr>
        <w:spacing w:before="100" w:beforeAutospacing="1" w:after="58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proofErr w:type="spellStart"/>
      <w:r w:rsidRPr="00101A3D">
        <w:rPr>
          <w:rFonts w:ascii="Times New Roman" w:eastAsia="Times New Roman" w:hAnsi="Times New Roman" w:cs="Times New Roman"/>
          <w:i/>
          <w:iCs/>
          <w:color w:val="000000"/>
          <w:kern w:val="36"/>
        </w:rPr>
        <w:lastRenderedPageBreak/>
        <w:t>Danubia</w:t>
      </w:r>
      <w:proofErr w:type="spellEnd"/>
      <w:r w:rsidRPr="00101A3D">
        <w:rPr>
          <w:rFonts w:ascii="Times New Roman" w:eastAsia="Times New Roman" w:hAnsi="Times New Roman" w:cs="Times New Roman"/>
          <w:color w:val="000000"/>
          <w:kern w:val="36"/>
        </w:rPr>
        <w:t>, Simon Winder</w:t>
      </w:r>
    </w:p>
    <w:p w14:paraId="219978BD" w14:textId="524D3A1E" w:rsidR="00101A3D" w:rsidRPr="00B21A8F" w:rsidRDefault="00101A3D" w:rsidP="00B21A8F">
      <w:pPr>
        <w:spacing w:before="100" w:beforeAutospacing="1" w:after="58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  <w:r w:rsidRPr="00101A3D">
        <w:rPr>
          <w:rFonts w:ascii="Times New Roman" w:eastAsia="Times New Roman" w:hAnsi="Times New Roman" w:cs="Times New Roman"/>
          <w:i/>
          <w:iCs/>
          <w:color w:val="000000"/>
          <w:kern w:val="36"/>
        </w:rPr>
        <w:t>Germania</w:t>
      </w:r>
      <w:r w:rsidRPr="00101A3D">
        <w:rPr>
          <w:rFonts w:ascii="Times New Roman" w:eastAsia="Times New Roman" w:hAnsi="Times New Roman" w:cs="Times New Roman"/>
          <w:color w:val="000000"/>
          <w:kern w:val="36"/>
        </w:rPr>
        <w:t>, Simon Winder</w:t>
      </w:r>
    </w:p>
    <w:p w14:paraId="1499C220" w14:textId="0F58EDD0" w:rsidR="00C41FA0" w:rsidRDefault="00C41FA0" w:rsidP="00B21A8F">
      <w:pPr>
        <w:spacing w:before="100" w:beforeAutospacing="1" w:after="5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</w:p>
    <w:p w14:paraId="5CA88CAA" w14:textId="27CAF84A" w:rsidR="00B21A8F" w:rsidRPr="00B21A8F" w:rsidRDefault="00C41FA0" w:rsidP="00B21A8F">
      <w:pPr>
        <w:spacing w:before="100" w:beforeAutospacing="1" w:after="5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</w:rPr>
        <w:t>Behavior</w:t>
      </w:r>
      <w:r w:rsidR="00B21A8F" w:rsidRPr="00B21A8F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Protocol</w:t>
      </w:r>
    </w:p>
    <w:p w14:paraId="492934EB" w14:textId="77777777" w:rsidR="00B21A8F" w:rsidRPr="00B21A8F" w:rsidRDefault="00B21A8F" w:rsidP="00B21A8F">
      <w:pPr>
        <w:spacing w:before="100" w:before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1A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General Behavior:</w:t>
      </w:r>
      <w:r w:rsidRPr="00B21A8F">
        <w:rPr>
          <w:rFonts w:ascii="Times New Roman" w:eastAsia="Times New Roman" w:hAnsi="Times New Roman" w:cs="Times New Roman"/>
          <w:color w:val="000000"/>
        </w:rPr>
        <w:t> </w:t>
      </w:r>
      <w:r w:rsidRPr="00B21A8F">
        <w:rPr>
          <w:rFonts w:ascii="Times New Roman" w:eastAsia="Times New Roman" w:hAnsi="Times New Roman" w:cs="Times New Roman"/>
          <w:color w:val="000000"/>
          <w:sz w:val="20"/>
          <w:szCs w:val="20"/>
        </w:rPr>
        <w:t>Students are expected to treat everyone during IE with common courtesy and respect. Due to the nature of the course, students must be self-motivated and keep up with weekly goals. Please refer to the IE Code of Conduct if there are any questions about behavioral expectations while participating in this course. </w:t>
      </w:r>
    </w:p>
    <w:p w14:paraId="46B50B74" w14:textId="6B49DF2F" w:rsidR="00B21A8F" w:rsidRPr="00B21A8F" w:rsidRDefault="00B21A8F" w:rsidP="00B21A8F">
      <w:pPr>
        <w:spacing w:before="100" w:before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1A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Attendance: </w:t>
      </w:r>
      <w:r w:rsidRPr="00B21A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You are expected to attend and participate in all planned activities while in </w:t>
      </w:r>
      <w:r w:rsidRPr="00C41FA0">
        <w:rPr>
          <w:rFonts w:ascii="Times New Roman" w:eastAsia="Times New Roman" w:hAnsi="Times New Roman" w:cs="Times New Roman"/>
          <w:color w:val="000000"/>
          <w:sz w:val="20"/>
          <w:szCs w:val="20"/>
        </w:rPr>
        <w:t>Europe</w:t>
      </w:r>
      <w:r w:rsidRPr="00B21A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It is your responsibility to </w:t>
      </w:r>
      <w:r w:rsidRPr="00C41FA0">
        <w:rPr>
          <w:rFonts w:ascii="Times New Roman" w:eastAsia="Times New Roman" w:hAnsi="Times New Roman" w:cs="Times New Roman"/>
          <w:color w:val="000000"/>
          <w:sz w:val="20"/>
          <w:szCs w:val="20"/>
        </w:rPr>
        <w:t>wake up and be ready on time for each day’s activities.</w:t>
      </w:r>
    </w:p>
    <w:p w14:paraId="2C4B7735" w14:textId="77777777" w:rsidR="00B21A8F" w:rsidRPr="00B21A8F" w:rsidRDefault="00B21A8F" w:rsidP="00B21A8F">
      <w:pPr>
        <w:spacing w:before="100" w:beforeAutospacing="1" w:after="5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</w:rPr>
      </w:pPr>
      <w:bookmarkStart w:id="0" w:name="_Hlk102633635"/>
      <w:bookmarkStart w:id="1" w:name="_Hlk102635027"/>
      <w:bookmarkEnd w:id="0"/>
      <w:bookmarkEnd w:id="1"/>
      <w:r w:rsidRPr="00B21A8F">
        <w:rPr>
          <w:rFonts w:ascii="Times New Roman" w:eastAsia="Times New Roman" w:hAnsi="Times New Roman" w:cs="Times New Roman"/>
          <w:b/>
          <w:bCs/>
          <w:color w:val="000000"/>
          <w:kern w:val="36"/>
        </w:rPr>
        <w:t>Assignments and Grading Policy</w:t>
      </w:r>
    </w:p>
    <w:p w14:paraId="6628EFC3" w14:textId="3442FE2B" w:rsidR="00B21A8F" w:rsidRPr="00B21A8F" w:rsidRDefault="00B21A8F" w:rsidP="00B21A8F">
      <w:pPr>
        <w:spacing w:before="100" w:before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1A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Student grades </w:t>
      </w:r>
      <w:r w:rsidR="00C41F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MPM 195 </w:t>
      </w:r>
      <w:r w:rsidRPr="00B21A8F">
        <w:rPr>
          <w:rFonts w:ascii="Times New Roman" w:eastAsia="Times New Roman" w:hAnsi="Times New Roman" w:cs="Times New Roman"/>
          <w:color w:val="000000"/>
          <w:sz w:val="20"/>
          <w:szCs w:val="20"/>
        </w:rPr>
        <w:t>will be based on daily participation</w:t>
      </w:r>
      <w:r w:rsidR="00A32771" w:rsidRPr="00C41FA0">
        <w:rPr>
          <w:rFonts w:ascii="Times New Roman" w:eastAsia="Times New Roman" w:hAnsi="Times New Roman" w:cs="Times New Roman"/>
          <w:color w:val="000000"/>
          <w:sz w:val="20"/>
          <w:szCs w:val="20"/>
        </w:rPr>
        <w:t>, one blog post</w:t>
      </w:r>
      <w:r w:rsidR="00C41FA0" w:rsidRPr="00C41F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one final paper.  </w:t>
      </w:r>
    </w:p>
    <w:p w14:paraId="4B82FEEE" w14:textId="77777777" w:rsidR="00B21A8F" w:rsidRPr="00B21A8F" w:rsidRDefault="00B21A8F" w:rsidP="00B21A8F">
      <w:pPr>
        <w:spacing w:before="100" w:before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B7ACA4C" w14:textId="77777777" w:rsidR="00B21A8F" w:rsidRPr="00B21A8F" w:rsidRDefault="00B21A8F" w:rsidP="00B21A8F">
      <w:pPr>
        <w:spacing w:before="100" w:beforeAutospacing="1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AFBDA5" w14:textId="77777777" w:rsidR="00B21A8F" w:rsidRPr="00B21A8F" w:rsidRDefault="00B21A8F" w:rsidP="00C41FA0">
      <w:pPr>
        <w:spacing w:before="100" w:beforeAutospacing="1"/>
        <w:ind w:left="243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1A8F">
        <w:rPr>
          <w:rFonts w:ascii="Times New Roman" w:eastAsia="Times New Roman" w:hAnsi="Times New Roman" w:cs="Times New Roman"/>
          <w:color w:val="000000"/>
          <w:sz w:val="20"/>
          <w:szCs w:val="20"/>
        </w:rPr>
        <w:t>Daily Participation (40%)</w:t>
      </w:r>
    </w:p>
    <w:p w14:paraId="071C16D9" w14:textId="391A2709" w:rsidR="00B21A8F" w:rsidRPr="00B21A8F" w:rsidRDefault="00B21A8F" w:rsidP="00C41FA0">
      <w:pPr>
        <w:spacing w:before="100" w:beforeAutospacing="1"/>
        <w:ind w:left="243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1A8F">
        <w:rPr>
          <w:rFonts w:ascii="Times New Roman" w:eastAsia="Times New Roman" w:hAnsi="Times New Roman" w:cs="Times New Roman"/>
          <w:color w:val="000000"/>
          <w:sz w:val="20"/>
          <w:szCs w:val="20"/>
        </w:rPr>
        <w:t>Blog Contribution (2</w:t>
      </w:r>
      <w:r w:rsidR="00C41FA0" w:rsidRPr="00C41FA0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Pr="00B21A8F">
        <w:rPr>
          <w:rFonts w:ascii="Times New Roman" w:eastAsia="Times New Roman" w:hAnsi="Times New Roman" w:cs="Times New Roman"/>
          <w:color w:val="000000"/>
          <w:sz w:val="20"/>
          <w:szCs w:val="20"/>
        </w:rPr>
        <w:t>%)</w:t>
      </w:r>
    </w:p>
    <w:p w14:paraId="6E886AB1" w14:textId="763E2F5B" w:rsidR="00B21A8F" w:rsidRPr="00B21A8F" w:rsidRDefault="00C41FA0" w:rsidP="00C41FA0">
      <w:pPr>
        <w:spacing w:before="100" w:beforeAutospacing="1"/>
        <w:ind w:left="2430"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1FA0">
        <w:rPr>
          <w:rFonts w:ascii="Times New Roman" w:eastAsia="Times New Roman" w:hAnsi="Times New Roman" w:cs="Times New Roman"/>
          <w:color w:val="000000"/>
          <w:sz w:val="20"/>
          <w:szCs w:val="20"/>
        </w:rPr>
        <w:t>Final Paper</w:t>
      </w:r>
      <w:r w:rsidR="00B21A8F" w:rsidRPr="00B21A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Pr="00C41FA0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B21A8F" w:rsidRPr="00B21A8F">
        <w:rPr>
          <w:rFonts w:ascii="Times New Roman" w:eastAsia="Times New Roman" w:hAnsi="Times New Roman" w:cs="Times New Roman"/>
          <w:color w:val="000000"/>
          <w:sz w:val="20"/>
          <w:szCs w:val="20"/>
        </w:rPr>
        <w:t>0%)</w:t>
      </w:r>
    </w:p>
    <w:p w14:paraId="02720882" w14:textId="77777777" w:rsidR="00B21A8F" w:rsidRPr="00B21A8F" w:rsidRDefault="00B21A8F" w:rsidP="00C41FA0">
      <w:pPr>
        <w:spacing w:before="100" w:beforeAutospacing="1"/>
        <w:ind w:left="3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1A8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B21A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br/>
      </w:r>
      <w:r w:rsidRPr="00B21A8F">
        <w:rPr>
          <w:rFonts w:ascii="Times New Roman" w:eastAsia="Times New Roman" w:hAnsi="Times New Roman" w:cs="Times New Roman"/>
          <w:color w:val="000000"/>
          <w:sz w:val="20"/>
          <w:szCs w:val="20"/>
        </w:rPr>
        <w:t>Grading Scale: </w:t>
      </w:r>
    </w:p>
    <w:p w14:paraId="6BBD0E9C" w14:textId="77777777" w:rsidR="00B21A8F" w:rsidRPr="00B21A8F" w:rsidRDefault="00B21A8F" w:rsidP="00C41FA0">
      <w:pPr>
        <w:spacing w:before="100" w:beforeAutospacing="1"/>
        <w:ind w:left="3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1A8F">
        <w:rPr>
          <w:rFonts w:ascii="Times New Roman" w:eastAsia="Times New Roman" w:hAnsi="Times New Roman" w:cs="Times New Roman"/>
          <w:color w:val="000000"/>
          <w:sz w:val="20"/>
          <w:szCs w:val="20"/>
        </w:rPr>
        <w:t>100% − 90% = A</w:t>
      </w:r>
    </w:p>
    <w:p w14:paraId="4EE65708" w14:textId="77777777" w:rsidR="00B21A8F" w:rsidRPr="00B21A8F" w:rsidRDefault="00B21A8F" w:rsidP="00C41FA0">
      <w:pPr>
        <w:spacing w:before="100" w:beforeAutospacing="1"/>
        <w:ind w:left="3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1A8F">
        <w:rPr>
          <w:rFonts w:ascii="Times New Roman" w:eastAsia="Times New Roman" w:hAnsi="Times New Roman" w:cs="Times New Roman"/>
          <w:color w:val="000000"/>
          <w:sz w:val="20"/>
          <w:szCs w:val="20"/>
        </w:rPr>
        <w:t>89% – 80% = B</w:t>
      </w:r>
    </w:p>
    <w:p w14:paraId="75A5AF16" w14:textId="77777777" w:rsidR="00B21A8F" w:rsidRPr="00B21A8F" w:rsidRDefault="00B21A8F" w:rsidP="00C41FA0">
      <w:pPr>
        <w:spacing w:before="100" w:beforeAutospacing="1"/>
        <w:ind w:left="3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1A8F">
        <w:rPr>
          <w:rFonts w:ascii="Times New Roman" w:eastAsia="Times New Roman" w:hAnsi="Times New Roman" w:cs="Times New Roman"/>
          <w:color w:val="000000"/>
          <w:sz w:val="20"/>
          <w:szCs w:val="20"/>
        </w:rPr>
        <w:t>79% – 70% = C</w:t>
      </w:r>
    </w:p>
    <w:p w14:paraId="703ACF62" w14:textId="77777777" w:rsidR="00B21A8F" w:rsidRPr="00B21A8F" w:rsidRDefault="00B21A8F" w:rsidP="00C41FA0">
      <w:pPr>
        <w:spacing w:before="100" w:beforeAutospacing="1"/>
        <w:ind w:left="3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1A8F">
        <w:rPr>
          <w:rFonts w:ascii="Times New Roman" w:eastAsia="Times New Roman" w:hAnsi="Times New Roman" w:cs="Times New Roman"/>
          <w:color w:val="000000"/>
          <w:sz w:val="20"/>
          <w:szCs w:val="20"/>
        </w:rPr>
        <w:t>69% – 60% = D</w:t>
      </w:r>
    </w:p>
    <w:p w14:paraId="1B32CE20" w14:textId="77777777" w:rsidR="00B21A8F" w:rsidRPr="00B21A8F" w:rsidRDefault="00B21A8F" w:rsidP="00C41FA0">
      <w:pPr>
        <w:spacing w:before="100" w:beforeAutospacing="1"/>
        <w:ind w:left="3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1A8F">
        <w:rPr>
          <w:rFonts w:ascii="Times New Roman" w:eastAsia="Times New Roman" w:hAnsi="Times New Roman" w:cs="Times New Roman"/>
          <w:color w:val="000000"/>
          <w:sz w:val="20"/>
          <w:szCs w:val="20"/>
        </w:rPr>
        <w:t>less than 60% = F</w:t>
      </w:r>
    </w:p>
    <w:p w14:paraId="071A6E48" w14:textId="77777777" w:rsidR="00B21A8F" w:rsidRPr="00B21A8F" w:rsidRDefault="00B21A8F" w:rsidP="00B21A8F">
      <w:pPr>
        <w:spacing w:before="100" w:beforeAutospacing="1"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1F9ABB" w14:textId="77777777" w:rsidR="00DC6FA9" w:rsidRPr="00B21A8F" w:rsidRDefault="00DC6FA9" w:rsidP="00B21A8F">
      <w:pPr>
        <w:spacing w:before="100" w:beforeAutospacing="1" w:after="24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sectPr w:rsidR="00DC6FA9" w:rsidRPr="00B2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F3DE2"/>
    <w:multiLevelType w:val="hybridMultilevel"/>
    <w:tmpl w:val="8BB8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210CB"/>
    <w:multiLevelType w:val="multilevel"/>
    <w:tmpl w:val="E788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8F"/>
    <w:rsid w:val="00101A3D"/>
    <w:rsid w:val="00263BE4"/>
    <w:rsid w:val="008D5273"/>
    <w:rsid w:val="00A124E1"/>
    <w:rsid w:val="00A32771"/>
    <w:rsid w:val="00B21A8F"/>
    <w:rsid w:val="00C41FA0"/>
    <w:rsid w:val="00D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24EFE"/>
  <w15:chartTrackingRefBased/>
  <w15:docId w15:val="{C65D5A94-1F08-444C-98AF-E35DAA96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1A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21A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A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21A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1A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21A8F"/>
  </w:style>
  <w:style w:type="paragraph" w:customStyle="1" w:styleId="western">
    <w:name w:val="western"/>
    <w:basedOn w:val="Normal"/>
    <w:rsid w:val="00B21A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21A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A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juliekau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Chisholm, Julianne K</dc:creator>
  <cp:keywords/>
  <dc:description/>
  <cp:lastModifiedBy>Chisholm, Julianne K</cp:lastModifiedBy>
  <cp:revision>1</cp:revision>
  <dcterms:created xsi:type="dcterms:W3CDTF">2023-05-22T21:46:00Z</dcterms:created>
  <dcterms:modified xsi:type="dcterms:W3CDTF">2023-05-22T23:23:00Z</dcterms:modified>
</cp:coreProperties>
</file>